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2B" w:rsidRDefault="00190554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ПРАВИТЕЛЬСТВО РОССИЙСКОЙ ФЕДЕРАЦИИ</w:t>
      </w:r>
    </w:p>
    <w:p w:rsidR="009E222B" w:rsidRDefault="009E222B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190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9E222B" w:rsidRDefault="009E222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190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 № __________</w:t>
      </w:r>
    </w:p>
    <w:p w:rsidR="009E222B" w:rsidRDefault="009E222B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1905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</w:t>
      </w:r>
    </w:p>
    <w:p w:rsidR="009E222B" w:rsidRDefault="00190554">
      <w:pPr>
        <w:widowControl w:val="0"/>
        <w:tabs>
          <w:tab w:val="left" w:pos="733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222B" w:rsidRDefault="001905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Правил и критериев включения организаций народных художественных промыслов в перечень организаций нар</w:t>
      </w:r>
      <w:r>
        <w:rPr>
          <w:rFonts w:ascii="Times New Roman" w:hAnsi="Times New Roman" w:cs="Times New Roman"/>
          <w:b/>
          <w:sz w:val="28"/>
          <w:szCs w:val="28"/>
        </w:rPr>
        <w:t>одных художественных промыслов</w:t>
      </w:r>
    </w:p>
    <w:p w:rsidR="009E222B" w:rsidRDefault="009E222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22B" w:rsidRDefault="00190554">
      <w:pPr>
        <w:widowControl w:val="0"/>
        <w:spacing w:after="0" w:line="32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4.1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 xml:space="preserve">«О народных художественных промыслах» Правительство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9E222B" w:rsidRDefault="00190554">
      <w:pPr>
        <w:widowControl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E222B" w:rsidRDefault="00190554">
      <w:pPr>
        <w:widowControl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включения организаций народных худ</w:t>
      </w:r>
      <w:r>
        <w:rPr>
          <w:rFonts w:ascii="Times New Roman" w:hAnsi="Times New Roman" w:cs="Times New Roman"/>
          <w:sz w:val="28"/>
          <w:szCs w:val="28"/>
        </w:rPr>
        <w:t>ожественных промыслов в перечень организаций народных художественных промыслов;</w:t>
      </w:r>
    </w:p>
    <w:p w:rsidR="009E222B" w:rsidRDefault="00190554">
      <w:pPr>
        <w:widowControl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включения организаций народных художественных промыслов в перечень организаций народных художественных промыслов.</w:t>
      </w:r>
    </w:p>
    <w:p w:rsidR="009E222B" w:rsidRDefault="00190554">
      <w:pPr>
        <w:widowControl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организации народных художественны</w:t>
      </w:r>
      <w:r>
        <w:rPr>
          <w:rFonts w:ascii="Times New Roman" w:hAnsi="Times New Roman" w:cs="Times New Roman"/>
          <w:sz w:val="28"/>
          <w:szCs w:val="28"/>
        </w:rPr>
        <w:t>х промыслов, включенные в Перечень организаций народных художественных промыслов, поддержка которых осуществляется за счет средств федерального бюджета, утвержденный Министерством промышленности и торговли Российской Федерации до вступления в силу настояще</w:t>
      </w:r>
      <w:r>
        <w:rPr>
          <w:rFonts w:ascii="Times New Roman" w:hAnsi="Times New Roman" w:cs="Times New Roman"/>
          <w:sz w:val="28"/>
          <w:szCs w:val="28"/>
        </w:rPr>
        <w:t>го постановления, считаются включенными в Перечень организаций народных художественных промыслов, поддержка которых оказывается федеральными органами исполнительной власти, утвержденный в соответствии с пунктом 2</w:t>
      </w:r>
      <w:r>
        <w:rPr>
          <w:rFonts w:ascii="Times New Roman" w:hAnsi="Times New Roman" w:cs="Times New Roman"/>
          <w:sz w:val="28"/>
          <w:szCs w:val="28"/>
        </w:rPr>
        <w:br/>
        <w:t xml:space="preserve">статьи 4.1 Федерального закона от 6 января </w:t>
      </w:r>
      <w:r>
        <w:rPr>
          <w:rFonts w:ascii="Times New Roman" w:hAnsi="Times New Roman" w:cs="Times New Roman"/>
          <w:sz w:val="28"/>
          <w:szCs w:val="28"/>
        </w:rPr>
        <w:t>1999 г. № 7-ФЗ «О народных художественных промыслах».</w:t>
      </w:r>
    </w:p>
    <w:p w:rsidR="009E222B" w:rsidRDefault="00190554">
      <w:pPr>
        <w:widowControl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10 июня 2024 г.</w:t>
      </w:r>
    </w:p>
    <w:p w:rsidR="009E222B" w:rsidRDefault="00190554">
      <w:pPr>
        <w:widowControl w:val="0"/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E222B" w:rsidRDefault="0019055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</w:t>
      </w:r>
      <w:bookmarkStart w:id="0" w:name="P76"/>
      <w:bookmarkStart w:id="1" w:name="P84"/>
      <w:bookmarkEnd w:id="0"/>
      <w:bookmarkEnd w:id="1"/>
      <w:proofErr w:type="spellEnd"/>
    </w:p>
    <w:p w:rsidR="009E222B" w:rsidRDefault="009E22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E222B">
          <w:headerReference w:type="default" r:id="rId7"/>
          <w:headerReference w:type="first" r:id="rId8"/>
          <w:pgSz w:w="11906" w:h="16838"/>
          <w:pgMar w:top="993" w:right="1274" w:bottom="993" w:left="1418" w:header="567" w:footer="0" w:gutter="0"/>
          <w:cols w:space="720"/>
          <w:titlePg/>
          <w:docGrid w:linePitch="360"/>
        </w:sectPr>
      </w:pPr>
    </w:p>
    <w:p w:rsidR="009E222B" w:rsidRDefault="00190554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E222B" w:rsidRDefault="00190554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E222B" w:rsidRDefault="00190554">
      <w:pPr>
        <w:widowControl w:val="0"/>
        <w:tabs>
          <w:tab w:val="left" w:pos="5529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E222B" w:rsidRDefault="0019055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9E222B" w:rsidRDefault="009E22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190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9E222B" w:rsidRDefault="00190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включения организаций народных художественных промыслов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перечень организаций народных художественных промыслов</w:t>
      </w:r>
    </w:p>
    <w:p w:rsidR="009E222B" w:rsidRDefault="009E22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Настоящие Правила определяют порядок включения организаций народных художественных промыслов (далее – организация) </w:t>
      </w:r>
      <w:r>
        <w:rPr>
          <w:rFonts w:ascii="Times New Roman" w:hAnsi="Times New Roman" w:cs="Times New Roman"/>
          <w:sz w:val="28"/>
          <w:szCs w:val="28"/>
        </w:rPr>
        <w:t xml:space="preserve">в перечень организаций народных художественных промыслов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Перечень), </w:t>
      </w:r>
      <w:r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ерждаемый в соответствии с пунктом 2 статьи 4.1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  <w:t>от 6 января 1999 г. № 7-ФЗ «О народных художественных промыслах»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Для включения организации в Перечень орган государственной власти субъекта Российской Федерации (далее – заявитель) нап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равляет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Министерство промышленности и торговли Российской Федерации заявление о включении организации в Перечень, сформированное посредством государственной информационной системы промышленности (далее – заявление, ГИСП). 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заявлении </w:t>
      </w:r>
      <w:r>
        <w:rPr>
          <w:rFonts w:ascii="Times New Roman" w:hAnsi="Times New Roman" w:cs="Times New Roman"/>
          <w:sz w:val="28"/>
          <w:szCs w:val="28"/>
        </w:rPr>
        <w:t>указываются след</w:t>
      </w:r>
      <w:r>
        <w:rPr>
          <w:rFonts w:ascii="Times New Roman" w:hAnsi="Times New Roman" w:cs="Times New Roman"/>
          <w:sz w:val="28"/>
          <w:szCs w:val="28"/>
        </w:rPr>
        <w:t>ующие сведения: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полное и сокращенное (при наличии) наименование организации;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основной государственный регистрационный номер;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идентификационный номер налогоплательщика;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 адрес организации в пределах места нахождения организации;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 контактные 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ные руководителя организации или его представителя (телефон, адрес электронной почты (при наличии);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 среднесписочная численность сотрудников организации;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 общий объем отгруженных организацией товаров собственного производства (работ, услуг, выполненных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оказанных своими силами)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стоимостном выражении за предшествующий год;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з) объем отгруженных организацией изделий народных художественных промыслов в стоимостном и количественном выражении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предшествующий год;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 объем отгруженных организацией изделий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народных художественных промыслов признанного художественного достоинства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стоимостном и количественном выражении за предшествующий год.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К заявлению прилагаются следующие копии документов: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нотариально заверенная копия учредительного документа органи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зации;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копия выписки из протокола заседания художественно-экспертного совета по народным художественным промыслам соответствующего субъекта Российской Федерации (далее – художественно-экспертный совет) с решением о рекомендации по включению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копия составленной в произвольной форме художественно-исторической справки о традициях искусства народного художественного промысла, его художественно-стилевых особенностях и об организации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указанием даты создания (реорганизаций) организа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ции, первого года отнесения продукции организации к изделиям народных художественных промыслов и первого года регистрации образцов изделий народных художественных промыслов в качестве образцов изделий народных художественных промыслов признанного художеств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енного достоинства (действующего зарегистрированного предприятия), подтверждающей соответствие исторического значения народного художественного промысла сроку существования промысла – не менее 70 лет;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копия выписки из протокола заседания художественно-э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кспертного совета с решениями о первом отнесении изделий организации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изделиям народных художественных промыслов;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копии (не менее двух) перечней образцов изделий народных художественных промыслов признанного художественного достоинства организации, зар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егистрированных уполномоченным Правительством Российской Федерации федеральным органом исполнительной власти,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том числе один перечень, относящийся к первой регистрации образцов изделий народных художественных промыслов организации в качестве образцов изд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елий народных художественных промыслов признанного художественного достоинства.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когда организация претендует на вхождение в Перечень исходя из признака, установленного абзацем 4 пункта 3 критериев включения организаций народных художественных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омыслов в перечень организаций народных художественных промыслов, утвержденных настоящим постановлением (далее – критерии), к заявлению прилагаются копии перечней образцов изделий народных художественных промыслов признанного художественного достоинства 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ганизации, зарегистрированных уполномоченным Правительством Российской Федерации федеральным органом исполнительной власти, подтверждающих наличие не менее 20 единиц образцов изделий народных художественных промыслов признанного художественного достоинства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непосредственно произведенных данной организацией;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 копия описания технологического процесса изготовления организацией изделий народных художественных промыслов с указанием технологических операций, выполняемых на основе творческого труда мастеров народных художественных промыслов;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 копия справки 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ультатах финансово-хозяйственной деятельности организации за последние два года с указанием чистой прибыли, общего объема отгруженной продукции в стоимостном выражении, объема отгруженных изделий народных художественных промыслов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стоимостном выражении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 доли в общем объеме отгруженной продукции, объема отгруженных изделий народных художественных промыслов признанного художественного достоинства в стоимостном выражении и их доли в объеме отгруженных изделий народных художественных промыслов с 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м: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копий форм федерального государственного статистического наблюдения с указанием объемов производства и отгрузки изделий народных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художественных промыслов с отметкой органа государственной статистики о принятии: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П-1 или № ПМ – ежемесячные за отчетные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ериоды текущего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за 12 месяцев предыдущего года;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1-предприятие – годовая (представляется за предыдущий год);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копий форм № 1 и № 2 годовой бухгалтерской (финансовой) отчетности за предыдущий год с отметкой инспекции Федеральной налоговой службы;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П-НХП-ПХД – годовая (представляется за предыдущий год);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 копия составленной в произвольной форме справки-обоснования соответствия значения организации народного художественного промысла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развитии традиций этого промысла одному из признаков, установлен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пунктом 3 критериев,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приложением соответствующих подтверждающих документов, а также с указанием информации о наличии художников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мастеров народных художественных промыслов народных и заслуженных художников Российской Федерации, лауреатов государствен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премий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штате организации, информации о наличии изделий художников организации в музеях и персональных выставок художников, копии свидетельства Федеральной службы по интеллектуальной собственности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 зарегистрированном наименовании места происхождения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(при наличии);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и) копия документа, подтверждающего права на образцы изделий народных художественных промыслов признанного художественного достоинства (в случае, когда организация претендует на вхождение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Перечень исходя из признака, установленного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абзацем 4 пункта 3 критериев);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к) копия нормативного правового акта органа государственной власти субъекта Российской Федерации, в соответствии с которым установлено место традиционного бытования народного художественного промысла, изделия которого изготав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ливает организация.</w:t>
      </w:r>
    </w:p>
    <w:p w:rsidR="009E222B" w:rsidRDefault="00190554">
      <w:pPr>
        <w:pStyle w:val="af9"/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подпунктах «б» – «г», «е» – «з» пункта 4 настоящих Правил, подписываются председателем и ответственным секретарем художественно-экспертного совета и заверяются печатью художественно-экспертного совета.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 В цел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ях рассмотрения заявления и копий документов, указанных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пунктах 2 и 4 настоящих Правил, Министерство промышленности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торговли Российской Федерации запрашивает с использованием межведомственного информационного взаимодействия у соответствующего 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 органа исполнительной власти, в распоряжении которого находятся такие сведения и документы, следующие сведения: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выписку из Единого государственного реестра юридических лиц.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в распоряжении соответствующего федерального органа испо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лнительной власти или непредставления указанных документов Министерство промышленности и торговли Российской Федерации вправе направить заявителю посредством ГИСП уведомление о предоставлении копий соответствующих документов.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приостанавливается на срок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предоставления указанных документов, но не более чем на 15 дней с даты размещения указанного уведомления в ГИСП. Срок приостановления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учитывается при исчислении сроков, предусмотренных пунктами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8 и 9 настоящих Правил. 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Заявлен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ие и копии документов, указанные в пунктах 2 и 4 настоящих Правил, направляются в Министерство промышленности и торговли Российской Федерации посредством ГИСП в форме электронного документа, который подписывается руководителем органа государственной власти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 с использованием усиленной квалифицированной электронной подписи.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Министерство промышленности и торговли Российской Федерации в течении 20 рабочих дней рассматривает заявление и копии документов, указанные в пункте 2 и 4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астоящих Правил, и подготавливает предложения о включении организации в Перечень для рассмотрения на заседании Экспертного совета по народным художественным промыслам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Министерстве промышленности и торговли Российской Федерации (далее – Экспертный сове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т).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 В случае наличия оснований, предусмотренных пунктом 10 настоящих Правил, Министерство промышленности и торговли Российской Федерации в срок, не превышающий 20 рабочих дней со дня получения заявления и копий документов, указанных в пунктах 2 и 4 наст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оящих Правил, возвращает посредством ГИСП данные документы для доработки.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Основаниями для возврата заявления являются: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несоответствие заявления и копий документов, указанных в пунктах 2 и 4 настоящих Правил, требованиям, установленным настоящими Пра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вилами;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недостоверность сведений, содержащихся в заявлении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документах, указанных в пунктах 2 и 4 настоящих Правил;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наличие в заявлении и (или) копиях документов, указанных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пунктах 2 и 4 настоящих Правил, противоречащих друг другу сведений;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 неп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редставление документов, запрашиваемых в уведомлении, предусмотренном пунктом 6 настоящих Правил;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отсутствие в выписки из Единого государственного реестра юридических лиц информации о наличии в основных видах экономической деятельности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производства изд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елий народных художественных промыслов.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11. В случае принятия Экспертным советом положительного решения о включении организации в Перечень Министерство промышленности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торговли Российской Федерации принимает решение о включении организации в Перечень.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включении организации в Перечень направляется посредством ГИСП в течении 15 рабочих дней после принятия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включении организации в Перечень.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 В случае принятия Экспертным советом решения об отказе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во включении организации в Перечень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Министерство промышленности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торговли Российской Федерации в 20-дневный срок с даты принятия указанного решения Экспертным советом направляет в орган государственной власти субъекта Российской Федерации письмо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приложением протокола заседания Экспертно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совета.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Организация, включенная в Перечень, ежегодно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1 февраля текущего года направляет в Министерство промышленности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торговли Российской Федерации следующие сведения и копии документов, подтверждающие соответствие организации критериям, преду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смотренным пунктами 1 и 4 критериев: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полное и сокращенное (при наличии) наименование организации;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 основной государственный регистрационный номер;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 идентификационный номер налогоплательщика;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 адрес организации в пределах места нахождения организац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 контактные данные руководителя организации или его представителя (телефон, адрес электронной почты (при наличии);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 общий объем отгруженных организацией товаров собственного производства (работ, услуг, выполненных, оказанных своими силами)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стоимо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стном выражении за предшествующий год;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 информация об отгруженных организацией изделиях народных художественных промыслов, в том числе объем отгрузки таких изделий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стоимостном и количественном выражении за предшествующий год;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 информация об отгруженн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организацией изделиях народных художественных промыслов признанного художественного достоинства,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том числе объем отгрузки таких изделий в стоимостном и количественном выражении за предшествующий год;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и) среднесписочная численность сотрудников организа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ции;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к) копия доверенности представителя организации (в случае если сведения и документы подписаны представителем).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Сведения и копии документов, указанные в пункте 13 настоящих Правил, направляются в Министерство промышленности и торговли Российской Фе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дерации посредством ГИСП в форме электронного документа, который подписывается руководителем организации или уполномоченным им лицом с использованием усиленной квалифицированной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электронной подписи 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E222B">
          <w:headerReference w:type="default" r:id="rId9"/>
          <w:pgSz w:w="11906" w:h="16838"/>
          <w:pgMar w:top="1127" w:right="1274" w:bottom="851" w:left="1418" w:header="540" w:footer="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15. Министерство промышленности и торговли Российской Федерации на основании сведений и копий документов, представленных в соответствии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пунктом 13 настоящих Правил, в срок до 1 апреля текущего года проверяет соответствие организаций, включенных в перечен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ь, критериям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осуществляет актуализацию перечня.</w:t>
      </w:r>
    </w:p>
    <w:p w:rsidR="009E222B" w:rsidRDefault="009E222B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E222B" w:rsidRDefault="00190554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E222B" w:rsidRDefault="00190554">
      <w:pPr>
        <w:widowControl w:val="0"/>
        <w:tabs>
          <w:tab w:val="left" w:pos="4253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E222B" w:rsidRDefault="00190554">
      <w:pPr>
        <w:widowControl w:val="0"/>
        <w:tabs>
          <w:tab w:val="left" w:pos="5529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E222B" w:rsidRDefault="0019055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</w:t>
      </w:r>
    </w:p>
    <w:p w:rsidR="009E222B" w:rsidRDefault="009E222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9E222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1905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 И Т Е Р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</w:p>
    <w:p w:rsidR="009E222B" w:rsidRDefault="00190554">
      <w:pPr>
        <w:pStyle w:val="af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включения организаций народных художественных промыслов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перечень организаций народных художественных промыслов</w:t>
      </w:r>
    </w:p>
    <w:p w:rsidR="009E222B" w:rsidRDefault="009E222B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9E222B">
      <w:pPr>
        <w:pStyle w:val="af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Организация народных художественных промыслов (далее – организация) является юридическим лицом любой организационно-правовой формы и формы собственности.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Срок существования народного художест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венного промысла, изделия которого изготавливает организация, составляет не менее 70 лет.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Значимость организации народного художественного промысла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развитии традиций этого промысла исходя из одного из следующих признаков: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существования организац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составляет не менее 10 лет с учетом реорганизаций и переименований с даты первого отнесения художественно-экспертным советом по народным художественным промыслам соответствующего субъекта Российской Федерации продукции организации к изделиям народных ху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дожественных промыслов действующего зарегистрированного предприятия;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существования организации составляет не менее 5 лет с учетом реорганизаций и переименований с даты первой регистрации уполномоченным Правительством Российской Федерации федеральным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рганом исполнительной власти образцов изделий народных художественных промыслов действующего зарегистрированного предприятия в качестве образцов изделий народных художественных промыслов признанного художественного достоинства;</w:t>
      </w:r>
    </w:p>
    <w:p w:rsidR="009E222B" w:rsidRDefault="00190554">
      <w:pPr>
        <w:pStyle w:val="af9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существования организац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составляет не менее 2 лет с учетом реорганизаций и переименований с даты первой регистрации уполномоченным Правительством Российской Федерации федеральным органом исполнительной власти образцов изделий народных художественных промыслов в качестве образц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изделий народных художественных промыслов признанного художественного достоинства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наличии полученного в соответствии с законодательством Российской Федерации от организаций народных художественных промыслов, ранее включенных в Перечень организаций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ародных художественных промыслов, права на образцы изделий народных художественных промыслов признанного художественного достоинства и не менее 20 единиц образцов изделий народных художественных промыслов признанного художественного достоинства, непосредст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венно произведенных данной организацией.</w:t>
      </w:r>
    </w:p>
    <w:p w:rsidR="009E222B" w:rsidRDefault="00190554">
      <w:pPr>
        <w:pStyle w:val="af9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 объеме отгруженных (подлежащих реализации путем поставки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иной продажи либо обмена) организацией товаров собственного производства (работ, услуг, выполненных, оказанных своими силами)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предшествующий год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зделия народных художественных промыслов составляют не менее 50 процентов.</w:t>
      </w:r>
    </w:p>
    <w:sectPr w:rsidR="009E222B">
      <w:pgSz w:w="11906" w:h="16838"/>
      <w:pgMar w:top="1127" w:right="1274" w:bottom="851" w:left="1418" w:header="54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2B" w:rsidRDefault="00190554">
      <w:pPr>
        <w:spacing w:after="0" w:line="240" w:lineRule="auto"/>
      </w:pPr>
      <w:r>
        <w:separator/>
      </w:r>
    </w:p>
  </w:endnote>
  <w:endnote w:type="continuationSeparator" w:id="0">
    <w:p w:rsidR="009E222B" w:rsidRDefault="0019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2B" w:rsidRDefault="00190554">
      <w:pPr>
        <w:spacing w:after="0" w:line="240" w:lineRule="auto"/>
      </w:pPr>
      <w:r>
        <w:separator/>
      </w:r>
    </w:p>
  </w:footnote>
  <w:footnote w:type="continuationSeparator" w:id="0">
    <w:p w:rsidR="009E222B" w:rsidRDefault="0019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/>
      </w:rPr>
      <w:id w:val="-556779309"/>
      <w:docPartObj>
        <w:docPartGallery w:val="Page Numbers (Top of Page)"/>
        <w:docPartUnique/>
      </w:docPartObj>
    </w:sdtPr>
    <w:sdtEndPr/>
    <w:sdtContent>
      <w:p w:rsidR="009E222B" w:rsidRDefault="00190554">
        <w:pPr>
          <w:pStyle w:val="af5"/>
          <w:jc w:val="center"/>
          <w:rPr>
            <w:rFonts w:ascii="Times New Roman"/>
            <w:sz w:val="24"/>
            <w:szCs w:val="24"/>
          </w:rPr>
        </w:pPr>
        <w:r>
          <w:rPr>
            <w:rFonts w:ascii="Times New Roman"/>
            <w:sz w:val="24"/>
            <w:szCs w:val="24"/>
          </w:rPr>
          <w:fldChar w:fldCharType="begin"/>
        </w:r>
        <w:r>
          <w:rPr>
            <w:rFonts w:ascii="Times New Roman"/>
            <w:sz w:val="24"/>
            <w:szCs w:val="24"/>
          </w:rPr>
          <w:instrText>PAGE   \* MERGEFORMAT</w:instrText>
        </w:r>
        <w:r>
          <w:rPr>
            <w:rFonts w:ascii="Times New Roman"/>
            <w:sz w:val="24"/>
            <w:szCs w:val="24"/>
          </w:rPr>
          <w:fldChar w:fldCharType="separate"/>
        </w:r>
        <w:r>
          <w:rPr>
            <w:rFonts w:ascii="Times New Roman"/>
            <w:sz w:val="24"/>
            <w:szCs w:val="24"/>
          </w:rPr>
          <w:t>2</w:t>
        </w:r>
        <w:r>
          <w:rPr>
            <w:rFonts w:asci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2B" w:rsidRDefault="00190554">
    <w:pPr>
      <w:widowControl w:val="0"/>
      <w:spacing w:after="0" w:line="360" w:lineRule="auto"/>
      <w:ind w:firstLine="709"/>
      <w:jc w:val="right"/>
      <w:outlineLvl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9E222B" w:rsidRDefault="009E222B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626021"/>
      <w:docPartObj>
        <w:docPartGallery w:val="Page Numbers (Top of Page)"/>
        <w:docPartUnique/>
      </w:docPartObj>
    </w:sdtPr>
    <w:sdtEndPr/>
    <w:sdtContent>
      <w:p w:rsidR="009E222B" w:rsidRDefault="00190554">
        <w:pPr>
          <w:pStyle w:val="af5"/>
          <w:jc w:val="center"/>
          <w:rPr>
            <w:rFonts w:ascii="Times New Roman"/>
            <w:sz w:val="24"/>
          </w:rPr>
        </w:pPr>
        <w:r>
          <w:rPr>
            <w:rFonts w:ascii="Times New Roman"/>
            <w:sz w:val="24"/>
          </w:rPr>
          <w:fldChar w:fldCharType="begin"/>
        </w:r>
        <w:r>
          <w:rPr>
            <w:rFonts w:ascii="Times New Roman"/>
            <w:sz w:val="24"/>
          </w:rPr>
          <w:instrText>PAGE   \* MERGEFORMAT</w:instrText>
        </w:r>
        <w:r>
          <w:rPr>
            <w:rFonts w:ascii="Times New Roman"/>
            <w:sz w:val="24"/>
          </w:rPr>
          <w:fldChar w:fldCharType="separate"/>
        </w:r>
        <w:r>
          <w:rPr>
            <w:rFonts w:ascii="Times New Roman"/>
            <w:noProof/>
            <w:sz w:val="24"/>
          </w:rPr>
          <w:t>2</w:t>
        </w:r>
        <w:r>
          <w:rPr>
            <w:rFonts w:asci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B158E"/>
    <w:multiLevelType w:val="hybridMultilevel"/>
    <w:tmpl w:val="4D9A84BC"/>
    <w:lvl w:ilvl="0" w:tplc="97A06958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DA84B712">
      <w:start w:val="1"/>
      <w:numFmt w:val="lowerLetter"/>
      <w:lvlText w:val="%2."/>
      <w:lvlJc w:val="left"/>
      <w:pPr>
        <w:ind w:left="6750" w:hanging="360"/>
      </w:pPr>
    </w:lvl>
    <w:lvl w:ilvl="2" w:tplc="DADEFBC2">
      <w:start w:val="1"/>
      <w:numFmt w:val="lowerRoman"/>
      <w:lvlText w:val="%3."/>
      <w:lvlJc w:val="right"/>
      <w:pPr>
        <w:ind w:left="7470" w:hanging="180"/>
      </w:pPr>
    </w:lvl>
    <w:lvl w:ilvl="3" w:tplc="F7C27F5E">
      <w:start w:val="1"/>
      <w:numFmt w:val="decimal"/>
      <w:lvlText w:val="%4."/>
      <w:lvlJc w:val="left"/>
      <w:pPr>
        <w:ind w:left="8190" w:hanging="360"/>
      </w:pPr>
    </w:lvl>
    <w:lvl w:ilvl="4" w:tplc="DC6EFED0">
      <w:start w:val="1"/>
      <w:numFmt w:val="lowerLetter"/>
      <w:lvlText w:val="%5."/>
      <w:lvlJc w:val="left"/>
      <w:pPr>
        <w:ind w:left="8910" w:hanging="360"/>
      </w:pPr>
    </w:lvl>
    <w:lvl w:ilvl="5" w:tplc="2662E678">
      <w:start w:val="1"/>
      <w:numFmt w:val="lowerRoman"/>
      <w:lvlText w:val="%6."/>
      <w:lvlJc w:val="right"/>
      <w:pPr>
        <w:ind w:left="9630" w:hanging="180"/>
      </w:pPr>
    </w:lvl>
    <w:lvl w:ilvl="6" w:tplc="2580135E">
      <w:start w:val="1"/>
      <w:numFmt w:val="decimal"/>
      <w:lvlText w:val="%7."/>
      <w:lvlJc w:val="left"/>
      <w:pPr>
        <w:ind w:left="10350" w:hanging="360"/>
      </w:pPr>
    </w:lvl>
    <w:lvl w:ilvl="7" w:tplc="523E8012">
      <w:start w:val="1"/>
      <w:numFmt w:val="lowerLetter"/>
      <w:lvlText w:val="%8."/>
      <w:lvlJc w:val="left"/>
      <w:pPr>
        <w:ind w:left="11070" w:hanging="360"/>
      </w:pPr>
    </w:lvl>
    <w:lvl w:ilvl="8" w:tplc="8FECF5B2">
      <w:start w:val="1"/>
      <w:numFmt w:val="lowerRoman"/>
      <w:lvlText w:val="%9."/>
      <w:lvlJc w:val="right"/>
      <w:pPr>
        <w:ind w:left="11790" w:hanging="180"/>
      </w:pPr>
    </w:lvl>
  </w:abstractNum>
  <w:abstractNum w:abstractNumId="1" w15:restartNumberingAfterBreak="0">
    <w:nsid w:val="32B04495"/>
    <w:multiLevelType w:val="hybridMultilevel"/>
    <w:tmpl w:val="70E80E8A"/>
    <w:lvl w:ilvl="0" w:tplc="31085268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CCF2FFF8">
      <w:start w:val="1"/>
      <w:numFmt w:val="lowerLetter"/>
      <w:lvlText w:val="%2."/>
      <w:lvlJc w:val="left"/>
      <w:pPr>
        <w:ind w:left="1789" w:hanging="360"/>
      </w:pPr>
    </w:lvl>
    <w:lvl w:ilvl="2" w:tplc="52EEDA2C">
      <w:start w:val="1"/>
      <w:numFmt w:val="lowerRoman"/>
      <w:lvlText w:val="%3."/>
      <w:lvlJc w:val="right"/>
      <w:pPr>
        <w:ind w:left="2509" w:hanging="180"/>
      </w:pPr>
    </w:lvl>
    <w:lvl w:ilvl="3" w:tplc="6C2647B0">
      <w:start w:val="1"/>
      <w:numFmt w:val="decimal"/>
      <w:lvlText w:val="%4."/>
      <w:lvlJc w:val="left"/>
      <w:pPr>
        <w:ind w:left="3229" w:hanging="360"/>
      </w:pPr>
    </w:lvl>
    <w:lvl w:ilvl="4" w:tplc="AB2AE462">
      <w:start w:val="1"/>
      <w:numFmt w:val="lowerLetter"/>
      <w:lvlText w:val="%5."/>
      <w:lvlJc w:val="left"/>
      <w:pPr>
        <w:ind w:left="3949" w:hanging="360"/>
      </w:pPr>
    </w:lvl>
    <w:lvl w:ilvl="5" w:tplc="2A043F34">
      <w:start w:val="1"/>
      <w:numFmt w:val="lowerRoman"/>
      <w:lvlText w:val="%6."/>
      <w:lvlJc w:val="right"/>
      <w:pPr>
        <w:ind w:left="4669" w:hanging="180"/>
      </w:pPr>
    </w:lvl>
    <w:lvl w:ilvl="6" w:tplc="34B8C46E">
      <w:start w:val="1"/>
      <w:numFmt w:val="decimal"/>
      <w:lvlText w:val="%7."/>
      <w:lvlJc w:val="left"/>
      <w:pPr>
        <w:ind w:left="5389" w:hanging="360"/>
      </w:pPr>
    </w:lvl>
    <w:lvl w:ilvl="7" w:tplc="59209E42">
      <w:start w:val="1"/>
      <w:numFmt w:val="lowerLetter"/>
      <w:lvlText w:val="%8."/>
      <w:lvlJc w:val="left"/>
      <w:pPr>
        <w:ind w:left="6109" w:hanging="360"/>
      </w:pPr>
    </w:lvl>
    <w:lvl w:ilvl="8" w:tplc="ECFCFE8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2B"/>
    <w:rsid w:val="00190554"/>
    <w:rsid w:val="0067106B"/>
    <w:rsid w:val="009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871D"/>
  <w15:docId w15:val="{E2148FFE-8717-4FBB-892D-4909D699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  <w:spacing w:after="0" w:line="240" w:lineRule="auto"/>
    </w:pPr>
    <w:rPr>
      <w:rFonts w:eastAsia="Times New Roman" w:hAnsi="Times New Roman" w:cs="Times New Roman"/>
      <w:color w:val="00000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Pr>
      <w:rFonts w:eastAsia="Times New Roman" w:hAnsi="Times New Roman" w:cs="Times New Roman"/>
      <w:color w:val="00000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Максимилиан Олегович</dc:creator>
  <cp:keywords/>
  <dc:description/>
  <cp:lastModifiedBy>Рыжков Максимилиан Олегович</cp:lastModifiedBy>
  <cp:revision>3</cp:revision>
  <dcterms:created xsi:type="dcterms:W3CDTF">2024-02-27T18:01:00Z</dcterms:created>
  <dcterms:modified xsi:type="dcterms:W3CDTF">2024-02-27T18:03:00Z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Экз. по списку</vt:lpwstr>
  </property>
  <property fmtid="{D5CDD505-2E9C-101B-9397-08002B2CF9AE}" pid="3" name="Подписант_должность">
    <vt:lpwstr>Заместитель Министра</vt:lpwstr>
  </property>
  <property fmtid="{D5CDD505-2E9C-101B-9397-08002B2CF9AE}" pid="4" name="Подписант_ФИО">
    <vt:lpwstr>Г.М.Кадырова</vt:lpwstr>
  </property>
  <property fmtid="{D5CDD505-2E9C-101B-9397-08002B2CF9AE}" pid="5" name="Исполнитель_1">
    <vt:lpwstr>Клочкова Гульнара Рафкатовна</vt:lpwstr>
  </property>
  <property fmtid="{D5CDD505-2E9C-101B-9397-08002B2CF9AE}" pid="6" name="Исполнитель_2">
    <vt:lpwstr>Клочкова Гульнара Рафкатовна Отдел народных художественных промыслов Заместитель начальника отдела</vt:lpwstr>
  </property>
  <property fmtid="{D5CDD505-2E9C-101B-9397-08002B2CF9AE}" pid="7" name="Название_документа">
    <vt:lpwstr>О направлении на согласование проекта постановления ПРФ «О внесении изменений в Правила предоставления субсидий из федерального бюджета организациям НХП на поддержку производства и реализации изделий НХП»</vt:lpwstr>
  </property>
  <property fmtid="{D5CDD505-2E9C-101B-9397-08002B2CF9AE}" pid="8" name="Корневое_подразделение_исполнителя">
    <vt:lpwstr>25 ДРПСЗТ</vt:lpwstr>
  </property>
</Properties>
</file>